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15" w:rsidRPr="00903090" w:rsidRDefault="005F2F0F" w:rsidP="005F2F0F">
      <w:pPr>
        <w:pStyle w:val="a3"/>
        <w:shd w:val="clear" w:color="auto" w:fill="FFFFFF"/>
        <w:spacing w:before="0" w:beforeAutospacing="0" w:after="0" w:afterAutospacing="0" w:line="360" w:lineRule="atLeast"/>
        <w:ind w:right="400" w:firstLine="360"/>
        <w:jc w:val="center"/>
        <w:rPr>
          <w:rFonts w:asciiTheme="majorEastAsia" w:eastAsiaTheme="majorEastAsia" w:hAnsiTheme="majorEastAsia"/>
          <w:b/>
          <w:bCs/>
          <w:color w:val="1E1E1E"/>
          <w:sz w:val="28"/>
          <w:szCs w:val="27"/>
        </w:rPr>
      </w:pPr>
      <w:r w:rsidRPr="00903090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关于北京师范大学网络教育南京学习中心</w:t>
      </w:r>
      <w:r w:rsidR="009A6149" w:rsidRPr="009A6149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刘敏静</w:t>
      </w:r>
      <w:r w:rsidR="00541115" w:rsidRPr="00903090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同学自动退学的公示</w:t>
      </w:r>
    </w:p>
    <w:p w:rsidR="00541115" w:rsidRPr="00903090" w:rsidRDefault="00541115" w:rsidP="00541115">
      <w:pPr>
        <w:widowControl/>
        <w:shd w:val="clear" w:color="auto" w:fill="FFFFFF"/>
        <w:spacing w:line="360" w:lineRule="atLeast"/>
        <w:ind w:firstLine="560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根据教育部《普通高等学校学生管理规定》（2005年3月）和《北京师范大学网络教育学籍管理规定》（2018年04月01日修订），在学习期限内（含休学）未达到毕业条件、长期失去联系、休学期满无故逾期两周未办理复学手续，尚未书面申请退学、休学的学生，按自动退学处理。</w:t>
      </w:r>
    </w:p>
    <w:p w:rsidR="00ED2151" w:rsidRPr="00903090" w:rsidRDefault="00903090" w:rsidP="00ED2151">
      <w:pPr>
        <w:widowControl/>
        <w:shd w:val="clear" w:color="auto" w:fill="FFFFFF"/>
        <w:spacing w:line="360" w:lineRule="atLeast"/>
        <w:ind w:firstLine="560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现对逾期未办理相关手续的学生予以公示（公示名单查询路径：登录网</w:t>
      </w:r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站 </w:t>
      </w:r>
      <w:hyperlink r:id="rId7" w:tgtFrame="_blank" w:history="1">
        <w:r w:rsidR="00541115" w:rsidRPr="00903090">
          <w:rPr>
            <w:rFonts w:asciiTheme="majorEastAsia" w:eastAsiaTheme="majorEastAsia" w:hAnsiTheme="majorEastAsia" w:hint="eastAsia"/>
            <w:color w:val="292B2C"/>
            <w:sz w:val="24"/>
            <w:szCs w:val="18"/>
            <w:shd w:val="clear" w:color="auto" w:fill="FFFFFF"/>
          </w:rPr>
          <w:t>http://www.sne.bnu.edu.cn</w:t>
        </w:r>
      </w:hyperlink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 -学习中心公告），公示期从即日起至2</w:t>
      </w:r>
      <w:r w:rsidR="00491C4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020年0</w:t>
      </w:r>
      <w:r w:rsidR="009A6149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5</w:t>
      </w:r>
      <w:r w:rsidR="00491C4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月</w:t>
      </w:r>
      <w:r w:rsidR="009A6149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27</w:t>
      </w:r>
      <w:r w:rsidR="00491C4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日</w:t>
      </w:r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止。</w:t>
      </w:r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在此期间，如学生对退学处理有异议，学生可以通过</w:t>
      </w:r>
      <w:r w:rsidR="0020743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电话</w:t>
      </w:r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与学习中心取得联系（</w:t>
      </w:r>
      <w:r w:rsidR="00F87806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联系</w:t>
      </w:r>
      <w:r w:rsidR="0020743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电话</w:t>
      </w:r>
      <w:r w:rsidR="00F87806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：</w:t>
      </w:r>
      <w:r w:rsidR="0020743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025-82212151</w:t>
      </w:r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），并</w:t>
      </w:r>
      <w:r w:rsidR="001A5CF4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同时</w:t>
      </w:r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向学习中心提出书面申诉，逾期不再受理。</w:t>
      </w:r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公示结束后，将注销公示名单中学</w:t>
      </w:r>
      <w:bookmarkStart w:id="0" w:name="_GoBack"/>
      <w:bookmarkEnd w:id="0"/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生的</w:t>
      </w:r>
      <w:proofErr w:type="gramStart"/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学信网学籍</w:t>
      </w:r>
      <w:proofErr w:type="gramEnd"/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。</w:t>
      </w:r>
    </w:p>
    <w:p w:rsidR="00541115" w:rsidRDefault="005F2F0F" w:rsidP="00903090">
      <w:pPr>
        <w:widowControl/>
        <w:shd w:val="clear" w:color="auto" w:fill="FFFFFF"/>
        <w:spacing w:line="360" w:lineRule="atLeast"/>
        <w:ind w:firstLineChars="150" w:firstLine="360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名单公示如下：</w:t>
      </w:r>
    </w:p>
    <w:p w:rsidR="00ED2151" w:rsidRPr="002B2EEC" w:rsidRDefault="00ED2151" w:rsidP="002B2EEC">
      <w:pPr>
        <w:widowControl/>
        <w:shd w:val="clear" w:color="auto" w:fill="FFFFFF"/>
        <w:spacing w:line="360" w:lineRule="atLeast"/>
        <w:ind w:firstLineChars="150" w:firstLine="225"/>
        <w:jc w:val="left"/>
        <w:rPr>
          <w:rFonts w:ascii="微软雅黑" w:eastAsia="微软雅黑" w:hAnsi="微软雅黑"/>
          <w:color w:val="292B2C"/>
          <w:sz w:val="15"/>
          <w:szCs w:val="18"/>
          <w:shd w:val="clear" w:color="auto" w:fill="FFFFFF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724"/>
        <w:gridCol w:w="1896"/>
        <w:gridCol w:w="1100"/>
        <w:gridCol w:w="1100"/>
        <w:gridCol w:w="1432"/>
        <w:gridCol w:w="1634"/>
        <w:gridCol w:w="67"/>
      </w:tblGrid>
      <w:tr w:rsidR="00072E5F" w:rsidRPr="00ED2151" w:rsidTr="003D359C">
        <w:trPr>
          <w:gridAfter w:val="1"/>
          <w:wAfter w:w="67" w:type="dxa"/>
          <w:trHeight w:val="270"/>
        </w:trPr>
        <w:tc>
          <w:tcPr>
            <w:tcW w:w="78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E5F" w:rsidRPr="00ED2151" w:rsidRDefault="00072E5F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DD6A56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北京师范大学网络教育南京学习中心自动退学学生公示名单</w:t>
            </w:r>
          </w:p>
        </w:tc>
      </w:tr>
      <w:tr w:rsidR="00072E5F" w:rsidRPr="00ED2151" w:rsidTr="003D359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5F" w:rsidRPr="00ED2151" w:rsidRDefault="00072E5F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序号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5F" w:rsidRPr="00ED2151" w:rsidRDefault="00072E5F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学 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5F" w:rsidRPr="00ED2151" w:rsidRDefault="00072E5F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姓 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5F" w:rsidRPr="00ED2151" w:rsidRDefault="00072E5F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年 次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5F" w:rsidRPr="00ED2151" w:rsidRDefault="00072E5F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专 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5F" w:rsidRPr="00ED2151" w:rsidRDefault="00072E5F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层次</w:t>
            </w:r>
          </w:p>
        </w:tc>
      </w:tr>
      <w:tr w:rsidR="001B3089" w:rsidRPr="00ED2151" w:rsidTr="003D359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89" w:rsidRPr="00ED2151" w:rsidRDefault="009A6149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89" w:rsidRPr="00DD6A56" w:rsidRDefault="001B3089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2"/>
                <w:szCs w:val="18"/>
                <w:shd w:val="clear" w:color="auto" w:fill="FFFFFF"/>
              </w:rPr>
            </w:pPr>
            <w:r w:rsidRPr="00DD6A56">
              <w:rPr>
                <w:rFonts w:asciiTheme="majorEastAsia" w:eastAsiaTheme="majorEastAsia" w:hAnsiTheme="majorEastAsia" w:hint="eastAsia"/>
                <w:color w:val="292B2C"/>
                <w:sz w:val="22"/>
                <w:szCs w:val="18"/>
                <w:shd w:val="clear" w:color="auto" w:fill="FFFFFF"/>
              </w:rPr>
              <w:t xml:space="preserve">151059104038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89" w:rsidRPr="00DD6A56" w:rsidRDefault="001B3089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2"/>
                <w:szCs w:val="18"/>
                <w:shd w:val="clear" w:color="auto" w:fill="FFFFFF"/>
              </w:rPr>
            </w:pPr>
            <w:proofErr w:type="gramStart"/>
            <w:r w:rsidRPr="00DD6A56">
              <w:rPr>
                <w:rFonts w:asciiTheme="majorEastAsia" w:eastAsiaTheme="majorEastAsia" w:hAnsiTheme="majorEastAsia" w:hint="eastAsia"/>
                <w:color w:val="292B2C"/>
                <w:sz w:val="22"/>
                <w:szCs w:val="18"/>
                <w:shd w:val="clear" w:color="auto" w:fill="FFFFFF"/>
              </w:rPr>
              <w:t>刘敏静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89" w:rsidRPr="00DD6A56" w:rsidRDefault="001B3089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2"/>
                <w:szCs w:val="18"/>
                <w:shd w:val="clear" w:color="auto" w:fill="FFFFFF"/>
              </w:rPr>
            </w:pPr>
            <w:r w:rsidRPr="00DD6A56">
              <w:rPr>
                <w:rFonts w:asciiTheme="majorEastAsia" w:eastAsiaTheme="majorEastAsia" w:hAnsiTheme="majorEastAsia" w:hint="eastAsia"/>
                <w:color w:val="292B2C"/>
                <w:sz w:val="22"/>
                <w:szCs w:val="18"/>
                <w:shd w:val="clear" w:color="auto" w:fill="FFFFFF"/>
              </w:rPr>
              <w:t>2015秋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89" w:rsidRPr="00DD6A56" w:rsidRDefault="001B3089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2"/>
                <w:szCs w:val="18"/>
                <w:shd w:val="clear" w:color="auto" w:fill="FFFFFF"/>
              </w:rPr>
            </w:pPr>
            <w:r w:rsidRPr="00DD6A56">
              <w:rPr>
                <w:rFonts w:asciiTheme="majorEastAsia" w:eastAsiaTheme="majorEastAsia" w:hAnsiTheme="majorEastAsia" w:hint="eastAsia"/>
                <w:color w:val="292B2C"/>
                <w:sz w:val="22"/>
                <w:szCs w:val="18"/>
                <w:shd w:val="clear" w:color="auto" w:fill="FFFFFF"/>
              </w:rPr>
              <w:t>学前教育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89" w:rsidRPr="00DD6A56" w:rsidRDefault="001B3089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2"/>
                <w:szCs w:val="18"/>
                <w:shd w:val="clear" w:color="auto" w:fill="FFFFFF"/>
              </w:rPr>
            </w:pPr>
            <w:r w:rsidRPr="00DD6A56">
              <w:rPr>
                <w:rFonts w:asciiTheme="majorEastAsia" w:eastAsiaTheme="majorEastAsia" w:hAnsiTheme="majorEastAsia" w:hint="eastAsia"/>
                <w:color w:val="292B2C"/>
                <w:sz w:val="22"/>
                <w:szCs w:val="18"/>
                <w:shd w:val="clear" w:color="auto" w:fill="FFFFFF"/>
              </w:rPr>
              <w:t>业余专升本</w:t>
            </w:r>
          </w:p>
        </w:tc>
      </w:tr>
    </w:tbl>
    <w:p w:rsidR="001A5CF4" w:rsidRPr="00072E5F" w:rsidRDefault="001A5CF4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</w:p>
    <w:p w:rsidR="00903090" w:rsidRDefault="00903090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</w:p>
    <w:p w:rsidR="00B667BE" w:rsidRDefault="00B667BE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</w:p>
    <w:p w:rsidR="00903090" w:rsidRPr="005F2F0F" w:rsidRDefault="00903090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</w:p>
    <w:p w:rsidR="00541115" w:rsidRPr="00B5771D" w:rsidRDefault="00541115" w:rsidP="00B5771D">
      <w:pPr>
        <w:widowControl/>
        <w:shd w:val="clear" w:color="auto" w:fill="FFFFFF"/>
        <w:spacing w:line="360" w:lineRule="atLeast"/>
        <w:ind w:firstLineChars="1832" w:firstLine="4397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北京师范大学网络教育南京学习中心</w:t>
      </w:r>
    </w:p>
    <w:p w:rsidR="00126965" w:rsidRPr="00B5771D" w:rsidRDefault="00541115" w:rsidP="00B5771D">
      <w:pPr>
        <w:widowControl/>
        <w:shd w:val="clear" w:color="auto" w:fill="FFFFFF"/>
        <w:spacing w:line="360" w:lineRule="atLeast"/>
        <w:ind w:firstLine="560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 xml:space="preserve">                 </w:t>
      </w:r>
      <w:r w:rsid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 xml:space="preserve">                   </w:t>
      </w:r>
      <w:r w:rsidR="001A5CF4"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 xml:space="preserve"> </w:t>
      </w:r>
      <w:r w:rsidR="00DD6A56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二</w:t>
      </w:r>
      <w:proofErr w:type="gramStart"/>
      <w:r w:rsidR="00DD6A56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0二</w:t>
      </w:r>
      <w:proofErr w:type="gramEnd"/>
      <w:r w:rsidR="00DD6A56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0</w:t>
      </w:r>
      <w:r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年</w:t>
      </w:r>
      <w:r w:rsidR="009A6149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五</w:t>
      </w:r>
      <w:r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月</w:t>
      </w:r>
      <w:r w:rsidR="008501C1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十</w:t>
      </w:r>
      <w:r w:rsidR="009A6149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二</w:t>
      </w:r>
      <w:r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日</w:t>
      </w:r>
    </w:p>
    <w:sectPr w:rsidR="00126965" w:rsidRPr="00B5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7B" w:rsidRDefault="006A287B" w:rsidP="00F87806">
      <w:r>
        <w:separator/>
      </w:r>
    </w:p>
  </w:endnote>
  <w:endnote w:type="continuationSeparator" w:id="0">
    <w:p w:rsidR="006A287B" w:rsidRDefault="006A287B" w:rsidP="00F8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7B" w:rsidRDefault="006A287B" w:rsidP="00F87806">
      <w:r>
        <w:separator/>
      </w:r>
    </w:p>
  </w:footnote>
  <w:footnote w:type="continuationSeparator" w:id="0">
    <w:p w:rsidR="006A287B" w:rsidRDefault="006A287B" w:rsidP="00F8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4A"/>
    <w:rsid w:val="00072E5F"/>
    <w:rsid w:val="000C3F08"/>
    <w:rsid w:val="00126965"/>
    <w:rsid w:val="001A5CF4"/>
    <w:rsid w:val="001A6BDE"/>
    <w:rsid w:val="001B3089"/>
    <w:rsid w:val="001E6D2E"/>
    <w:rsid w:val="00207435"/>
    <w:rsid w:val="00207D85"/>
    <w:rsid w:val="0021120C"/>
    <w:rsid w:val="00261AA3"/>
    <w:rsid w:val="002B2EEC"/>
    <w:rsid w:val="0036131D"/>
    <w:rsid w:val="003630E0"/>
    <w:rsid w:val="003B795B"/>
    <w:rsid w:val="00427653"/>
    <w:rsid w:val="00491C45"/>
    <w:rsid w:val="004A7C8A"/>
    <w:rsid w:val="004B0FFA"/>
    <w:rsid w:val="00541115"/>
    <w:rsid w:val="00575A3C"/>
    <w:rsid w:val="00587415"/>
    <w:rsid w:val="005B792C"/>
    <w:rsid w:val="005F2F0F"/>
    <w:rsid w:val="006A287B"/>
    <w:rsid w:val="006E70D8"/>
    <w:rsid w:val="00782624"/>
    <w:rsid w:val="007C7625"/>
    <w:rsid w:val="007E139D"/>
    <w:rsid w:val="00830199"/>
    <w:rsid w:val="008501C1"/>
    <w:rsid w:val="00903090"/>
    <w:rsid w:val="0091514A"/>
    <w:rsid w:val="00925776"/>
    <w:rsid w:val="009A6149"/>
    <w:rsid w:val="00A176CA"/>
    <w:rsid w:val="00B41C21"/>
    <w:rsid w:val="00B5771D"/>
    <w:rsid w:val="00B667BE"/>
    <w:rsid w:val="00BA266D"/>
    <w:rsid w:val="00BA4D96"/>
    <w:rsid w:val="00CA330B"/>
    <w:rsid w:val="00CD39EE"/>
    <w:rsid w:val="00CE21A5"/>
    <w:rsid w:val="00D32B46"/>
    <w:rsid w:val="00DD6A56"/>
    <w:rsid w:val="00DE0A70"/>
    <w:rsid w:val="00EC0A6D"/>
    <w:rsid w:val="00EC24F6"/>
    <w:rsid w:val="00ED2151"/>
    <w:rsid w:val="00F02E70"/>
    <w:rsid w:val="00F133EC"/>
    <w:rsid w:val="00F75229"/>
    <w:rsid w:val="00F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11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4111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ateuser">
    <w:name w:val="date_user"/>
    <w:basedOn w:val="a0"/>
    <w:rsid w:val="00541115"/>
  </w:style>
  <w:style w:type="paragraph" w:styleId="a3">
    <w:name w:val="Normal (Web)"/>
    <w:basedOn w:val="a"/>
    <w:uiPriority w:val="99"/>
    <w:unhideWhenUsed/>
    <w:rsid w:val="00541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111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87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780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7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78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11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4111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ateuser">
    <w:name w:val="date_user"/>
    <w:basedOn w:val="a0"/>
    <w:rsid w:val="00541115"/>
  </w:style>
  <w:style w:type="paragraph" w:styleId="a3">
    <w:name w:val="Normal (Web)"/>
    <w:basedOn w:val="a"/>
    <w:uiPriority w:val="99"/>
    <w:unhideWhenUsed/>
    <w:rsid w:val="00541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111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87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780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7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78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e.bnu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2019-06-28T04:48:00Z</dcterms:created>
  <dcterms:modified xsi:type="dcterms:W3CDTF">2020-05-12T02:52:00Z</dcterms:modified>
</cp:coreProperties>
</file>